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D0C8" w14:textId="77777777" w:rsidR="00EA1B9D" w:rsidRDefault="00EA1B9D" w:rsidP="002C5694">
      <w:pPr>
        <w:rPr>
          <w:lang w:val="en-US"/>
        </w:rPr>
      </w:pPr>
    </w:p>
    <w:p w14:paraId="2489D736" w14:textId="77777777" w:rsidR="002C5694" w:rsidRDefault="002C5694" w:rsidP="002C5694">
      <w:pPr>
        <w:rPr>
          <w:lang w:val="en-US"/>
        </w:rPr>
      </w:pPr>
    </w:p>
    <w:tbl>
      <w:tblPr>
        <w:tblStyle w:val="TableGrid"/>
        <w:tblW w:w="0" w:type="auto"/>
        <w:tblLook w:val="04A0" w:firstRow="1" w:lastRow="0" w:firstColumn="1" w:lastColumn="0" w:noHBand="0" w:noVBand="1"/>
      </w:tblPr>
      <w:tblGrid>
        <w:gridCol w:w="2591"/>
        <w:gridCol w:w="6425"/>
      </w:tblGrid>
      <w:tr w:rsidR="002C5694" w:rsidRPr="00B919EA" w14:paraId="1BAF5E79" w14:textId="77777777" w:rsidTr="00C33CB2">
        <w:tc>
          <w:tcPr>
            <w:tcW w:w="2591" w:type="dxa"/>
          </w:tcPr>
          <w:p w14:paraId="28C6DB0B" w14:textId="77777777" w:rsidR="002C5694" w:rsidRPr="00B919EA" w:rsidRDefault="002C5694" w:rsidP="009B3D1C">
            <w:pPr>
              <w:rPr>
                <w:rFonts w:cstheme="minorHAnsi"/>
                <w:b/>
                <w:color w:val="3A7C22" w:themeColor="accent6" w:themeShade="BF"/>
              </w:rPr>
            </w:pPr>
            <w:r w:rsidRPr="00B919EA">
              <w:rPr>
                <w:rFonts w:cstheme="minorHAnsi"/>
                <w:b/>
                <w:color w:val="3A7C22" w:themeColor="accent6" w:themeShade="BF"/>
              </w:rPr>
              <w:t>Job Title:</w:t>
            </w:r>
          </w:p>
          <w:p w14:paraId="6FCDEB8B" w14:textId="77777777" w:rsidR="002C5694" w:rsidRPr="00B919EA" w:rsidRDefault="002C5694" w:rsidP="009B3D1C">
            <w:pPr>
              <w:rPr>
                <w:rFonts w:cstheme="minorHAnsi"/>
                <w:b/>
                <w:color w:val="3A7C22" w:themeColor="accent6" w:themeShade="BF"/>
              </w:rPr>
            </w:pPr>
          </w:p>
        </w:tc>
        <w:tc>
          <w:tcPr>
            <w:tcW w:w="6425" w:type="dxa"/>
          </w:tcPr>
          <w:p w14:paraId="49D21654" w14:textId="225A9CC7" w:rsidR="002C5694" w:rsidRPr="00B66DEB" w:rsidRDefault="00216E04" w:rsidP="009B3D1C">
            <w:pPr>
              <w:rPr>
                <w:rFonts w:cstheme="minorHAnsi"/>
                <w:b/>
                <w:bCs/>
              </w:rPr>
            </w:pPr>
            <w:r>
              <w:rPr>
                <w:b/>
                <w:bCs/>
              </w:rPr>
              <w:t>Learning &amp; Development Business Partner</w:t>
            </w:r>
          </w:p>
        </w:tc>
      </w:tr>
      <w:tr w:rsidR="002C5694" w:rsidRPr="00B919EA" w14:paraId="53A1A9C3" w14:textId="77777777" w:rsidTr="00C33CB2">
        <w:tc>
          <w:tcPr>
            <w:tcW w:w="2591" w:type="dxa"/>
          </w:tcPr>
          <w:p w14:paraId="31C80626" w14:textId="77777777" w:rsidR="002C5694" w:rsidRPr="00B919EA" w:rsidRDefault="002C5694" w:rsidP="009B3D1C">
            <w:pPr>
              <w:rPr>
                <w:rFonts w:cstheme="minorHAnsi"/>
                <w:b/>
                <w:color w:val="3A7C22" w:themeColor="accent6" w:themeShade="BF"/>
              </w:rPr>
            </w:pPr>
            <w:r w:rsidRPr="00B919EA">
              <w:rPr>
                <w:rFonts w:cstheme="minorHAnsi"/>
                <w:b/>
                <w:color w:val="3A7C22" w:themeColor="accent6" w:themeShade="BF"/>
              </w:rPr>
              <w:t xml:space="preserve">Reporting to: </w:t>
            </w:r>
          </w:p>
          <w:p w14:paraId="61A0B080" w14:textId="77777777" w:rsidR="002C5694" w:rsidRPr="00B919EA" w:rsidRDefault="002C5694" w:rsidP="009B3D1C">
            <w:pPr>
              <w:rPr>
                <w:rFonts w:cstheme="minorHAnsi"/>
                <w:b/>
                <w:color w:val="3A7C22" w:themeColor="accent6" w:themeShade="BF"/>
              </w:rPr>
            </w:pPr>
          </w:p>
        </w:tc>
        <w:tc>
          <w:tcPr>
            <w:tcW w:w="6425" w:type="dxa"/>
          </w:tcPr>
          <w:p w14:paraId="6CA01063" w14:textId="2F15535D" w:rsidR="002C5694" w:rsidRPr="00B66DEB" w:rsidRDefault="00216E04" w:rsidP="009B3D1C">
            <w:pPr>
              <w:rPr>
                <w:rFonts w:cstheme="minorHAnsi"/>
                <w:b/>
                <w:bCs/>
              </w:rPr>
            </w:pPr>
            <w:r>
              <w:rPr>
                <w:b/>
                <w:bCs/>
              </w:rPr>
              <w:t>Head of Talent Acquisition &amp; Development</w:t>
            </w:r>
          </w:p>
        </w:tc>
      </w:tr>
      <w:tr w:rsidR="002C5694" w:rsidRPr="00B919EA" w14:paraId="1D8BBC9A" w14:textId="77777777" w:rsidTr="00C33CB2">
        <w:tc>
          <w:tcPr>
            <w:tcW w:w="2591" w:type="dxa"/>
          </w:tcPr>
          <w:p w14:paraId="28D91D2C" w14:textId="77777777" w:rsidR="002C5694" w:rsidRPr="00B919EA" w:rsidRDefault="002C5694" w:rsidP="009B3D1C">
            <w:pPr>
              <w:rPr>
                <w:rFonts w:cstheme="minorHAnsi"/>
                <w:b/>
                <w:color w:val="3A7C22" w:themeColor="accent6" w:themeShade="BF"/>
              </w:rPr>
            </w:pPr>
            <w:r w:rsidRPr="00B919EA">
              <w:rPr>
                <w:rFonts w:cstheme="minorHAnsi"/>
                <w:b/>
                <w:color w:val="3A7C22" w:themeColor="accent6" w:themeShade="BF"/>
              </w:rPr>
              <w:t>Purpose of role:</w:t>
            </w:r>
          </w:p>
        </w:tc>
        <w:tc>
          <w:tcPr>
            <w:tcW w:w="6425" w:type="dxa"/>
          </w:tcPr>
          <w:p w14:paraId="6A84FE10" w14:textId="5B0005C2" w:rsidR="00A6221A" w:rsidRPr="00A6221A" w:rsidRDefault="00A6221A" w:rsidP="00A6221A">
            <w:pPr>
              <w:spacing w:before="100" w:beforeAutospacing="1" w:after="100" w:afterAutospacing="1" w:line="240" w:lineRule="auto"/>
              <w:outlineLvl w:val="1"/>
              <w:rPr>
                <w:rFonts w:ascii="Aptos" w:eastAsia="Times New Roman" w:hAnsi="Aptos" w:cs="Times New Roman"/>
                <w:lang w:eastAsia="en-GB"/>
              </w:rPr>
            </w:pPr>
            <w:r w:rsidRPr="00A6221A">
              <w:rPr>
                <w:rFonts w:ascii="Aptos" w:eastAsia="Times New Roman" w:hAnsi="Aptos" w:cs="Times New Roman"/>
                <w:lang w:eastAsia="en-GB"/>
              </w:rPr>
              <w:t xml:space="preserve">The Learning and Development Business Partner will design, deliver, and evaluate impactful learning strategies and development programmes that drive continuous professional growth across the organisation. Supporting colleagues in both </w:t>
            </w:r>
            <w:r>
              <w:rPr>
                <w:rFonts w:ascii="Aptos" w:eastAsia="Times New Roman" w:hAnsi="Aptos" w:cs="Times New Roman"/>
                <w:lang w:eastAsia="en-GB"/>
              </w:rPr>
              <w:t>Care &amp; Support</w:t>
            </w:r>
            <w:r w:rsidRPr="00A6221A">
              <w:rPr>
                <w:rFonts w:ascii="Aptos" w:eastAsia="Times New Roman" w:hAnsi="Aptos" w:cs="Times New Roman"/>
                <w:lang w:eastAsia="en-GB"/>
              </w:rPr>
              <w:t xml:space="preserve"> and Education </w:t>
            </w:r>
            <w:r>
              <w:rPr>
                <w:rFonts w:ascii="Aptos" w:eastAsia="Times New Roman" w:hAnsi="Aptos" w:cs="Times New Roman"/>
                <w:lang w:eastAsia="en-GB"/>
              </w:rPr>
              <w:t>divisions</w:t>
            </w:r>
            <w:r w:rsidRPr="00A6221A">
              <w:rPr>
                <w:rFonts w:ascii="Aptos" w:eastAsia="Times New Roman" w:hAnsi="Aptos" w:cs="Times New Roman"/>
                <w:lang w:eastAsia="en-GB"/>
              </w:rPr>
              <w:t>, the postholder will partner with leaders and teams to identify skills gaps, align training with strategic priorities, and foster a culture of learning and quality improvement.</w:t>
            </w:r>
          </w:p>
          <w:p w14:paraId="0DD81623" w14:textId="77777777" w:rsidR="00C33CB2" w:rsidRDefault="00C33CB2" w:rsidP="00DC3D3E"/>
          <w:p w14:paraId="5063CE08" w14:textId="77777777" w:rsidR="00C33CB2" w:rsidRPr="00C7005B" w:rsidRDefault="00C33CB2" w:rsidP="00C33CB2">
            <w:pPr>
              <w:rPr>
                <w:b/>
              </w:rPr>
            </w:pPr>
            <w:r w:rsidRPr="00C7005B">
              <w:rPr>
                <w:b/>
              </w:rPr>
              <w:t>EQUAL OPPORTUNITIES</w:t>
            </w:r>
          </w:p>
          <w:p w14:paraId="1FE3EA17" w14:textId="77777777" w:rsidR="00C33CB2" w:rsidRPr="00C7005B" w:rsidRDefault="00C33CB2" w:rsidP="00C33CB2">
            <w:pPr>
              <w:rPr>
                <w:bCs/>
              </w:rPr>
            </w:pPr>
            <w:r w:rsidRPr="00C7005B">
              <w:rPr>
                <w:bCs/>
              </w:rPr>
              <w:t>All young people are equally entitled to have their needs met in a fair and balanced way.  To be responsible for promoting equal opportunities for all and for challenging any behaviour or practice which discriminates against any young person or colleague on the grounds of race, religion, disability, age, gender, sexual orientation or any other perceived difference.</w:t>
            </w:r>
          </w:p>
          <w:p w14:paraId="6AD6E032" w14:textId="77777777" w:rsidR="00C33CB2" w:rsidRDefault="00C33CB2" w:rsidP="00DC3D3E"/>
          <w:p w14:paraId="2C40EF23" w14:textId="62BBB7D5" w:rsidR="002C5694" w:rsidRPr="00B919EA" w:rsidRDefault="002C5694" w:rsidP="009B3D1C">
            <w:pPr>
              <w:rPr>
                <w:rFonts w:cstheme="minorHAnsi"/>
              </w:rPr>
            </w:pPr>
          </w:p>
          <w:p w14:paraId="5222D680" w14:textId="77777777" w:rsidR="002C5694" w:rsidRPr="00B919EA" w:rsidRDefault="002C5694" w:rsidP="009B3D1C">
            <w:pPr>
              <w:pStyle w:val="ListParagraph"/>
              <w:rPr>
                <w:rFonts w:cstheme="minorHAnsi"/>
              </w:rPr>
            </w:pPr>
          </w:p>
        </w:tc>
      </w:tr>
      <w:tr w:rsidR="002C5694" w:rsidRPr="00B919EA" w14:paraId="13AA87B4" w14:textId="77777777" w:rsidTr="00C33CB2">
        <w:trPr>
          <w:trHeight w:val="602"/>
        </w:trPr>
        <w:tc>
          <w:tcPr>
            <w:tcW w:w="2591" w:type="dxa"/>
          </w:tcPr>
          <w:p w14:paraId="0BA7927A" w14:textId="583D878C" w:rsidR="002C5694" w:rsidRDefault="00C33CB2" w:rsidP="009B3D1C">
            <w:pPr>
              <w:rPr>
                <w:rFonts w:cstheme="minorHAnsi"/>
                <w:b/>
                <w:color w:val="3A7C22" w:themeColor="accent6" w:themeShade="BF"/>
              </w:rPr>
            </w:pPr>
            <w:r>
              <w:rPr>
                <w:rFonts w:cstheme="minorHAnsi"/>
                <w:b/>
                <w:color w:val="3A7C22" w:themeColor="accent6" w:themeShade="BF"/>
              </w:rPr>
              <w:t>Location</w:t>
            </w:r>
            <w:r w:rsidR="002C5694" w:rsidRPr="00B919EA">
              <w:rPr>
                <w:rFonts w:cstheme="minorHAnsi"/>
                <w:b/>
                <w:color w:val="3A7C22" w:themeColor="accent6" w:themeShade="BF"/>
              </w:rPr>
              <w:t xml:space="preserve"> of the role:</w:t>
            </w:r>
          </w:p>
          <w:p w14:paraId="14CF1A18" w14:textId="77777777" w:rsidR="00C33CB2" w:rsidRPr="00C33CB2" w:rsidRDefault="00C33CB2" w:rsidP="00C33CB2">
            <w:pPr>
              <w:rPr>
                <w:rFonts w:cstheme="minorHAnsi"/>
              </w:rPr>
            </w:pPr>
          </w:p>
        </w:tc>
        <w:tc>
          <w:tcPr>
            <w:tcW w:w="6425" w:type="dxa"/>
          </w:tcPr>
          <w:p w14:paraId="7F9E7DC8" w14:textId="79B3E1FB" w:rsidR="002C5694" w:rsidRPr="00B919EA" w:rsidRDefault="00C6774B" w:rsidP="009B3D1C">
            <w:pPr>
              <w:rPr>
                <w:rFonts w:cstheme="minorHAnsi"/>
                <w:bCs/>
              </w:rPr>
            </w:pPr>
            <w:r>
              <w:t xml:space="preserve">Remote </w:t>
            </w:r>
            <w:r w:rsidR="00F8202A">
              <w:t>with travel</w:t>
            </w:r>
          </w:p>
          <w:p w14:paraId="536CE56E" w14:textId="77777777" w:rsidR="002C5694" w:rsidRPr="00B919EA" w:rsidRDefault="002C5694" w:rsidP="00C33CB2">
            <w:pPr>
              <w:rPr>
                <w:rFonts w:cstheme="minorHAnsi"/>
                <w:b/>
              </w:rPr>
            </w:pPr>
          </w:p>
        </w:tc>
      </w:tr>
      <w:tr w:rsidR="002C5694" w:rsidRPr="00B919EA" w14:paraId="02B64040" w14:textId="77777777" w:rsidTr="00C33CB2">
        <w:tc>
          <w:tcPr>
            <w:tcW w:w="2591" w:type="dxa"/>
          </w:tcPr>
          <w:p w14:paraId="1024B699" w14:textId="77777777" w:rsidR="002C5694" w:rsidRPr="00B919EA" w:rsidRDefault="002C5694" w:rsidP="009B3D1C">
            <w:pPr>
              <w:rPr>
                <w:rFonts w:cstheme="minorHAnsi"/>
                <w:b/>
                <w:color w:val="3A7C22" w:themeColor="accent6" w:themeShade="BF"/>
              </w:rPr>
            </w:pPr>
            <w:r w:rsidRPr="00B919EA">
              <w:rPr>
                <w:rFonts w:cstheme="minorHAnsi"/>
                <w:b/>
                <w:color w:val="3A7C22" w:themeColor="accent6" w:themeShade="BF"/>
              </w:rPr>
              <w:t>Main areas of overall accountability:</w:t>
            </w:r>
          </w:p>
        </w:tc>
        <w:tc>
          <w:tcPr>
            <w:tcW w:w="6425" w:type="dxa"/>
          </w:tcPr>
          <w:p w14:paraId="6CF34C7C" w14:textId="77777777" w:rsidR="00713E4A" w:rsidRPr="00E56329" w:rsidRDefault="00713E4A" w:rsidP="00713E4A">
            <w:pPr>
              <w:spacing w:before="100" w:beforeAutospacing="1" w:after="100" w:afterAutospacing="1" w:line="240" w:lineRule="auto"/>
              <w:outlineLvl w:val="2"/>
              <w:rPr>
                <w:rFonts w:eastAsia="Times New Roman" w:cs="Times New Roman"/>
                <w:b/>
                <w:bCs/>
                <w:lang w:eastAsia="en-GB"/>
              </w:rPr>
            </w:pPr>
            <w:r w:rsidRPr="00E56329">
              <w:rPr>
                <w:rFonts w:eastAsia="Times New Roman" w:cs="Times New Roman"/>
                <w:b/>
                <w:bCs/>
                <w:lang w:eastAsia="en-GB"/>
              </w:rPr>
              <w:t>. Strategic L&amp;D Partnership</w:t>
            </w:r>
          </w:p>
          <w:p w14:paraId="4CCA28B5" w14:textId="77777777" w:rsidR="00713E4A" w:rsidRPr="00E56329" w:rsidRDefault="00713E4A" w:rsidP="00713E4A">
            <w:pPr>
              <w:numPr>
                <w:ilvl w:val="0"/>
                <w:numId w:val="42"/>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Act as a trusted L&amp;D advisor to managers and teams across all three divisions.</w:t>
            </w:r>
          </w:p>
          <w:p w14:paraId="028884BE" w14:textId="77777777" w:rsidR="00713E4A" w:rsidRPr="00E56329" w:rsidRDefault="00713E4A" w:rsidP="00713E4A">
            <w:pPr>
              <w:numPr>
                <w:ilvl w:val="0"/>
                <w:numId w:val="42"/>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Collaborate with stakeholders to identify training needs aligned with regulatory compliance (e.g. Ofsted) and strategic priorities.</w:t>
            </w:r>
          </w:p>
          <w:p w14:paraId="4A593075" w14:textId="77777777" w:rsidR="00713E4A" w:rsidRPr="00E56329" w:rsidRDefault="00713E4A" w:rsidP="00713E4A">
            <w:pPr>
              <w:numPr>
                <w:ilvl w:val="0"/>
                <w:numId w:val="42"/>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Contribute to the delivery of a continuous learning culture across the organisation.</w:t>
            </w:r>
          </w:p>
          <w:p w14:paraId="4A532629" w14:textId="77777777" w:rsidR="009E6165" w:rsidRPr="00E56329" w:rsidRDefault="009E6165" w:rsidP="009E6165">
            <w:pPr>
              <w:spacing w:before="100" w:beforeAutospacing="1" w:after="100" w:afterAutospacing="1" w:line="240" w:lineRule="auto"/>
              <w:outlineLvl w:val="2"/>
              <w:rPr>
                <w:rFonts w:eastAsia="Times New Roman" w:cs="Times New Roman"/>
                <w:b/>
                <w:bCs/>
                <w:lang w:eastAsia="en-GB"/>
              </w:rPr>
            </w:pPr>
            <w:r w:rsidRPr="00E56329">
              <w:rPr>
                <w:rFonts w:eastAsia="Times New Roman" w:cs="Times New Roman"/>
                <w:b/>
                <w:bCs/>
                <w:lang w:eastAsia="en-GB"/>
              </w:rPr>
              <w:t>2. Learning Design and Delivery</w:t>
            </w:r>
          </w:p>
          <w:p w14:paraId="72EBCF0E" w14:textId="77777777" w:rsidR="009E6165" w:rsidRPr="00E56329" w:rsidRDefault="009E6165" w:rsidP="009E6165">
            <w:pPr>
              <w:numPr>
                <w:ilvl w:val="0"/>
                <w:numId w:val="43"/>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 xml:space="preserve">Design and deliver learning interventions (workshops, eLearning content, toolkits) for </w:t>
            </w:r>
            <w:r>
              <w:rPr>
                <w:rFonts w:eastAsia="Times New Roman" w:cs="Times New Roman"/>
                <w:lang w:eastAsia="en-GB"/>
              </w:rPr>
              <w:t>operational colleagues,</w:t>
            </w:r>
            <w:r w:rsidRPr="00E56329">
              <w:rPr>
                <w:rFonts w:eastAsia="Times New Roman" w:cs="Times New Roman"/>
                <w:lang w:eastAsia="en-GB"/>
              </w:rPr>
              <w:t xml:space="preserve"> leaders, and support services.</w:t>
            </w:r>
          </w:p>
          <w:p w14:paraId="5B7335F5" w14:textId="77777777" w:rsidR="009E6165" w:rsidRPr="00E56329" w:rsidRDefault="009E6165" w:rsidP="009E6165">
            <w:pPr>
              <w:numPr>
                <w:ilvl w:val="0"/>
                <w:numId w:val="43"/>
              </w:numPr>
              <w:spacing w:before="100" w:beforeAutospacing="1" w:after="100" w:afterAutospacing="1" w:line="240" w:lineRule="auto"/>
              <w:rPr>
                <w:rFonts w:eastAsia="Times New Roman" w:cs="Times New Roman"/>
                <w:lang w:eastAsia="en-GB"/>
              </w:rPr>
            </w:pPr>
            <w:r>
              <w:rPr>
                <w:rFonts w:eastAsia="Times New Roman" w:cs="Times New Roman"/>
                <w:lang w:eastAsia="en-GB"/>
              </w:rPr>
              <w:lastRenderedPageBreak/>
              <w:t>With the Head of Talent Acquisition &amp; Development, quality assure the outsourced</w:t>
            </w:r>
            <w:r w:rsidRPr="00E56329">
              <w:rPr>
                <w:rFonts w:eastAsia="Times New Roman" w:cs="Times New Roman"/>
                <w:lang w:eastAsia="en-GB"/>
              </w:rPr>
              <w:t xml:space="preserve"> induction programme and ongoing CPD for </w:t>
            </w:r>
            <w:r>
              <w:rPr>
                <w:rFonts w:eastAsia="Times New Roman" w:cs="Times New Roman"/>
                <w:lang w:eastAsia="en-GB"/>
              </w:rPr>
              <w:t>all divisions</w:t>
            </w:r>
          </w:p>
          <w:p w14:paraId="6DE9EB2B" w14:textId="77777777" w:rsidR="009E6165" w:rsidRPr="00E56329" w:rsidRDefault="009E6165" w:rsidP="009E6165">
            <w:pPr>
              <w:numPr>
                <w:ilvl w:val="0"/>
                <w:numId w:val="43"/>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Coordinate with external providers to ensure quality and value-for-money training delivery.</w:t>
            </w:r>
          </w:p>
          <w:p w14:paraId="209F6138" w14:textId="77777777" w:rsidR="00066561" w:rsidRPr="00E56329" w:rsidRDefault="00066561" w:rsidP="00066561">
            <w:pPr>
              <w:spacing w:before="100" w:beforeAutospacing="1" w:after="100" w:afterAutospacing="1" w:line="240" w:lineRule="auto"/>
              <w:outlineLvl w:val="2"/>
              <w:rPr>
                <w:rFonts w:eastAsia="Times New Roman" w:cs="Times New Roman"/>
                <w:b/>
                <w:bCs/>
                <w:lang w:eastAsia="en-GB"/>
              </w:rPr>
            </w:pPr>
            <w:r w:rsidRPr="00E56329">
              <w:rPr>
                <w:rFonts w:eastAsia="Times New Roman" w:cs="Times New Roman"/>
                <w:b/>
                <w:bCs/>
                <w:lang w:eastAsia="en-GB"/>
              </w:rPr>
              <w:t>3. Learning Management System (LMS) Administration</w:t>
            </w:r>
          </w:p>
          <w:p w14:paraId="1D6156FF" w14:textId="77777777" w:rsidR="00066561" w:rsidRPr="00E56329" w:rsidRDefault="00066561" w:rsidP="00066561">
            <w:pPr>
              <w:numPr>
                <w:ilvl w:val="0"/>
                <w:numId w:val="44"/>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Maintain accurate records on the LMS (e.g., training completions, certification, compliance rates).</w:t>
            </w:r>
          </w:p>
          <w:p w14:paraId="3A532A36" w14:textId="77777777" w:rsidR="00066561" w:rsidRPr="00E56329" w:rsidRDefault="00066561" w:rsidP="00066561">
            <w:pPr>
              <w:numPr>
                <w:ilvl w:val="0"/>
                <w:numId w:val="44"/>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Schedule and manage training events on the LMS, including communications and learner support.</w:t>
            </w:r>
          </w:p>
          <w:p w14:paraId="23872E97" w14:textId="77777777" w:rsidR="00066561" w:rsidRPr="00E56329" w:rsidRDefault="00066561" w:rsidP="00066561">
            <w:pPr>
              <w:numPr>
                <w:ilvl w:val="0"/>
                <w:numId w:val="44"/>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Produce reports on training compliance and outcomes for internal and external audits.</w:t>
            </w:r>
          </w:p>
          <w:p w14:paraId="61535E48" w14:textId="77777777" w:rsidR="0035423B" w:rsidRPr="00E56329" w:rsidRDefault="0035423B" w:rsidP="0035423B">
            <w:pPr>
              <w:spacing w:before="100" w:beforeAutospacing="1" w:after="100" w:afterAutospacing="1" w:line="240" w:lineRule="auto"/>
              <w:outlineLvl w:val="2"/>
              <w:rPr>
                <w:rFonts w:eastAsia="Times New Roman" w:cs="Times New Roman"/>
                <w:b/>
                <w:bCs/>
                <w:lang w:eastAsia="en-GB"/>
              </w:rPr>
            </w:pPr>
            <w:r w:rsidRPr="00E56329">
              <w:rPr>
                <w:rFonts w:eastAsia="Times New Roman" w:cs="Times New Roman"/>
                <w:b/>
                <w:bCs/>
                <w:lang w:eastAsia="en-GB"/>
              </w:rPr>
              <w:t>4. Apprenticeship and Professional Development Coordination</w:t>
            </w:r>
          </w:p>
          <w:p w14:paraId="5654EA37" w14:textId="77777777" w:rsidR="0035423B" w:rsidRPr="00E56329" w:rsidRDefault="0035423B" w:rsidP="0035423B">
            <w:pPr>
              <w:numPr>
                <w:ilvl w:val="0"/>
                <w:numId w:val="45"/>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Work with the apprenticeship levy team, external training providers, and line managers to support learners through their programmes.</w:t>
            </w:r>
          </w:p>
          <w:p w14:paraId="12AA15B4" w14:textId="77777777" w:rsidR="0035423B" w:rsidRPr="00E56329" w:rsidRDefault="0035423B" w:rsidP="0035423B">
            <w:pPr>
              <w:numPr>
                <w:ilvl w:val="0"/>
                <w:numId w:val="45"/>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Track apprentice progress and ensure appropriate learning pathways are in place.</w:t>
            </w:r>
          </w:p>
          <w:p w14:paraId="220F4613" w14:textId="77777777" w:rsidR="0035423B" w:rsidRPr="00E56329" w:rsidRDefault="0035423B" w:rsidP="0035423B">
            <w:pPr>
              <w:numPr>
                <w:ilvl w:val="0"/>
                <w:numId w:val="45"/>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Promote internal progression opportunities through apprenticeships and development schemes.</w:t>
            </w:r>
          </w:p>
          <w:p w14:paraId="19C32E2C" w14:textId="77777777" w:rsidR="00AF35FC" w:rsidRPr="00E56329" w:rsidRDefault="00AF35FC" w:rsidP="00AF35FC">
            <w:pPr>
              <w:spacing w:before="100" w:beforeAutospacing="1" w:after="100" w:afterAutospacing="1" w:line="240" w:lineRule="auto"/>
              <w:outlineLvl w:val="2"/>
              <w:rPr>
                <w:rFonts w:eastAsia="Times New Roman" w:cs="Times New Roman"/>
                <w:b/>
                <w:bCs/>
                <w:lang w:eastAsia="en-GB"/>
              </w:rPr>
            </w:pPr>
            <w:r w:rsidRPr="00E56329">
              <w:rPr>
                <w:rFonts w:eastAsia="Times New Roman" w:cs="Times New Roman"/>
                <w:b/>
                <w:bCs/>
                <w:lang w:eastAsia="en-GB"/>
              </w:rPr>
              <w:t>5. Evaluation and Reporting</w:t>
            </w:r>
          </w:p>
          <w:p w14:paraId="6FCF1CA8" w14:textId="77777777" w:rsidR="00AF35FC" w:rsidRPr="00E56329" w:rsidRDefault="00AF35FC" w:rsidP="00AF35FC">
            <w:pPr>
              <w:numPr>
                <w:ilvl w:val="0"/>
                <w:numId w:val="4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Monitor the impact and effectiveness of learning interventions through feedback, KPIs, and metrics.</w:t>
            </w:r>
          </w:p>
          <w:p w14:paraId="778B4E97" w14:textId="77777777" w:rsidR="00AF35FC" w:rsidRPr="00E56329" w:rsidRDefault="00AF35FC" w:rsidP="00AF35FC">
            <w:pPr>
              <w:numPr>
                <w:ilvl w:val="0"/>
                <w:numId w:val="4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Prepare regular reports for the Head of Talent Acquisition and Development on L&amp;D activity and outcomes.</w:t>
            </w:r>
          </w:p>
          <w:p w14:paraId="3652F6E9" w14:textId="77777777" w:rsidR="00AF35FC" w:rsidRPr="00E56329" w:rsidRDefault="00AF35FC" w:rsidP="00AF35FC">
            <w:pPr>
              <w:numPr>
                <w:ilvl w:val="0"/>
                <w:numId w:val="4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Contribute to the development of the annual training plan and budget management.</w:t>
            </w:r>
          </w:p>
          <w:p w14:paraId="30C43075" w14:textId="77777777" w:rsidR="005513FC" w:rsidRPr="00E56329" w:rsidRDefault="005513FC" w:rsidP="005513FC">
            <w:pPr>
              <w:spacing w:before="100" w:beforeAutospacing="1" w:after="100" w:afterAutospacing="1" w:line="240" w:lineRule="auto"/>
              <w:outlineLvl w:val="2"/>
              <w:rPr>
                <w:rFonts w:eastAsia="Times New Roman" w:cs="Times New Roman"/>
                <w:b/>
                <w:bCs/>
                <w:lang w:eastAsia="en-GB"/>
              </w:rPr>
            </w:pPr>
            <w:r w:rsidRPr="00E56329">
              <w:rPr>
                <w:rFonts w:eastAsia="Times New Roman" w:cs="Times New Roman"/>
                <w:b/>
                <w:bCs/>
                <w:lang w:eastAsia="en-GB"/>
              </w:rPr>
              <w:t>6. General Administration &amp; Support</w:t>
            </w:r>
          </w:p>
          <w:p w14:paraId="7183B98A" w14:textId="77777777" w:rsidR="005513FC" w:rsidRPr="00E56329" w:rsidRDefault="005513FC" w:rsidP="005513FC">
            <w:pPr>
              <w:numPr>
                <w:ilvl w:val="0"/>
                <w:numId w:val="47"/>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Manage L&amp;D-related inboxes, communications, and training enquiries.</w:t>
            </w:r>
          </w:p>
          <w:p w14:paraId="6571D672" w14:textId="77777777" w:rsidR="005513FC" w:rsidRPr="00E56329" w:rsidRDefault="005513FC" w:rsidP="005513FC">
            <w:pPr>
              <w:numPr>
                <w:ilvl w:val="0"/>
                <w:numId w:val="47"/>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Provide administrative support for training logistics (booking venues, materials, evaluations).</w:t>
            </w:r>
          </w:p>
          <w:p w14:paraId="5B3CC23B" w14:textId="77777777" w:rsidR="005513FC" w:rsidRPr="00E56329" w:rsidRDefault="005513FC" w:rsidP="005513FC">
            <w:pPr>
              <w:numPr>
                <w:ilvl w:val="0"/>
                <w:numId w:val="47"/>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Maintain L&amp;D documentation, policies, and standard operating procedures.</w:t>
            </w:r>
          </w:p>
          <w:p w14:paraId="780D94F2" w14:textId="77777777" w:rsidR="00E00C2A" w:rsidRPr="0096488F" w:rsidRDefault="00E00C2A" w:rsidP="005B78DA">
            <w:pPr>
              <w:jc w:val="both"/>
            </w:pPr>
          </w:p>
          <w:p w14:paraId="1A8727F8" w14:textId="77777777" w:rsidR="003A0200" w:rsidRPr="0096488F" w:rsidRDefault="003A0200" w:rsidP="003A0200"/>
          <w:p w14:paraId="79363292" w14:textId="10D343A2" w:rsidR="00EA0BA6" w:rsidRPr="002C5694" w:rsidRDefault="00EA0BA6" w:rsidP="00A1257E">
            <w:pPr>
              <w:shd w:val="clear" w:color="auto" w:fill="FFFFFF"/>
              <w:spacing w:before="100" w:beforeAutospacing="1" w:after="100" w:afterAutospacing="1" w:line="240" w:lineRule="auto"/>
              <w:rPr>
                <w:rFonts w:cstheme="minorHAnsi"/>
                <w:b/>
                <w:bCs/>
              </w:rPr>
            </w:pPr>
          </w:p>
          <w:p w14:paraId="7C346FE9" w14:textId="77777777" w:rsidR="002C5694" w:rsidRPr="00B919EA" w:rsidRDefault="002C5694" w:rsidP="009B3D1C">
            <w:pPr>
              <w:rPr>
                <w:rFonts w:cstheme="minorHAnsi"/>
              </w:rPr>
            </w:pPr>
          </w:p>
        </w:tc>
      </w:tr>
      <w:tr w:rsidR="002C5694" w:rsidRPr="00B919EA" w14:paraId="271D8FC3" w14:textId="77777777" w:rsidTr="00C33CB2">
        <w:tc>
          <w:tcPr>
            <w:tcW w:w="2591" w:type="dxa"/>
          </w:tcPr>
          <w:p w14:paraId="579664A0" w14:textId="77777777" w:rsidR="002C5694" w:rsidRPr="00B919EA" w:rsidRDefault="002C5694" w:rsidP="009B3D1C">
            <w:pPr>
              <w:rPr>
                <w:rFonts w:cstheme="minorHAnsi"/>
                <w:b/>
                <w:color w:val="3A7C22" w:themeColor="accent6" w:themeShade="BF"/>
              </w:rPr>
            </w:pPr>
            <w:r w:rsidRPr="00B919EA">
              <w:rPr>
                <w:rFonts w:cstheme="minorHAnsi"/>
                <w:b/>
                <w:color w:val="3A7C22" w:themeColor="accent6" w:themeShade="BF"/>
              </w:rPr>
              <w:lastRenderedPageBreak/>
              <w:t>Requirements for the role:</w:t>
            </w:r>
          </w:p>
        </w:tc>
        <w:tc>
          <w:tcPr>
            <w:tcW w:w="6425" w:type="dxa"/>
          </w:tcPr>
          <w:p w14:paraId="4536844E" w14:textId="355AFDE0" w:rsidR="001B6386" w:rsidRDefault="001567FB" w:rsidP="005D468B">
            <w:pPr>
              <w:rPr>
                <w:b/>
                <w:bCs/>
              </w:rPr>
            </w:pPr>
            <w:r>
              <w:rPr>
                <w:rFonts w:cstheme="minorHAnsi"/>
              </w:rPr>
              <w:t xml:space="preserve"> </w:t>
            </w:r>
            <w:r w:rsidR="005D468B" w:rsidRPr="00BE222D">
              <w:rPr>
                <w:b/>
                <w:bCs/>
              </w:rPr>
              <w:t>Essential:</w:t>
            </w:r>
          </w:p>
          <w:p w14:paraId="663E45C7" w14:textId="77777777" w:rsidR="001B6386" w:rsidRPr="00E56329" w:rsidRDefault="001B6386"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Proven experience in a Learning and Development role, ideally in health, social care, or education.</w:t>
            </w:r>
          </w:p>
          <w:p w14:paraId="7E07D328" w14:textId="79E68150" w:rsidR="001B6386" w:rsidRPr="00E56329" w:rsidRDefault="001B6386"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Strong administrative skills and familiarity with LMS platforms</w:t>
            </w:r>
          </w:p>
          <w:p w14:paraId="0D3CAD01" w14:textId="77777777" w:rsidR="001B6386" w:rsidRPr="00E56329" w:rsidRDefault="001B6386"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Experience coordinating or managing apprenticeship programmes.</w:t>
            </w:r>
          </w:p>
          <w:p w14:paraId="6BC5C26C" w14:textId="77777777" w:rsidR="001B6386" w:rsidRPr="00E56329" w:rsidRDefault="001B6386"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Excellent interpersonal and stakeholder management skills.</w:t>
            </w:r>
          </w:p>
          <w:p w14:paraId="1CC098E1" w14:textId="77777777" w:rsidR="001B6386" w:rsidRPr="00E56329" w:rsidRDefault="001B6386"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Ability to manage multiple priorities with a high level of accuracy and attention to detail.</w:t>
            </w:r>
          </w:p>
          <w:p w14:paraId="23B5BC18" w14:textId="77777777" w:rsidR="001B6386" w:rsidRPr="00E56329" w:rsidRDefault="001B6386"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Skilled in Microsoft Office (especially Excel, PowerPoint, Teams, Outlook).</w:t>
            </w:r>
          </w:p>
          <w:p w14:paraId="2970C4E5" w14:textId="77777777" w:rsidR="001B6386" w:rsidRPr="00BE222D" w:rsidRDefault="001B6386" w:rsidP="005D468B">
            <w:pPr>
              <w:rPr>
                <w:b/>
                <w:bCs/>
              </w:rPr>
            </w:pPr>
          </w:p>
          <w:p w14:paraId="392EBAC9" w14:textId="77777777" w:rsidR="005D468B" w:rsidRPr="00BE222D" w:rsidRDefault="005D468B" w:rsidP="005D468B">
            <w:pPr>
              <w:rPr>
                <w:b/>
                <w:bCs/>
              </w:rPr>
            </w:pPr>
            <w:r w:rsidRPr="00BE222D">
              <w:rPr>
                <w:b/>
                <w:bCs/>
              </w:rPr>
              <w:t>Desirable:</w:t>
            </w:r>
          </w:p>
          <w:p w14:paraId="2D486103" w14:textId="77777777" w:rsidR="00832C55" w:rsidRPr="00E56329" w:rsidRDefault="00832C55"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CIPD Level 5 (or working towards) or equivalent qualification in L&amp;D or HR.</w:t>
            </w:r>
          </w:p>
          <w:p w14:paraId="4CBE77CC" w14:textId="21152B60" w:rsidR="00832C55" w:rsidRPr="00E56329" w:rsidRDefault="00832C55"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Experience with regulatory frameworks such as CQ</w:t>
            </w:r>
            <w:r w:rsidR="00E36580">
              <w:rPr>
                <w:rFonts w:eastAsia="Times New Roman" w:cs="Times New Roman"/>
                <w:lang w:eastAsia="en-GB"/>
              </w:rPr>
              <w:t xml:space="preserve">C </w:t>
            </w:r>
            <w:r w:rsidRPr="00E56329">
              <w:rPr>
                <w:rFonts w:eastAsia="Times New Roman" w:cs="Times New Roman"/>
                <w:lang w:eastAsia="en-GB"/>
              </w:rPr>
              <w:t>Ofsted, Skills for Care.</w:t>
            </w:r>
          </w:p>
          <w:p w14:paraId="4206A06E" w14:textId="77777777" w:rsidR="00832C55" w:rsidRPr="00E56329" w:rsidRDefault="00832C55"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Knowledge of the Apprenticeship Levy and ESFA funding rules.</w:t>
            </w:r>
          </w:p>
          <w:p w14:paraId="480FF457" w14:textId="7306EC5B" w:rsidR="001567FB" w:rsidRPr="00832C55" w:rsidRDefault="00832C55" w:rsidP="00832C55">
            <w:pPr>
              <w:numPr>
                <w:ilvl w:val="0"/>
                <w:numId w:val="36"/>
              </w:numPr>
              <w:spacing w:before="100" w:beforeAutospacing="1" w:after="100" w:afterAutospacing="1" w:line="240" w:lineRule="auto"/>
              <w:rPr>
                <w:rFonts w:eastAsia="Times New Roman" w:cs="Times New Roman"/>
                <w:lang w:eastAsia="en-GB"/>
              </w:rPr>
            </w:pPr>
            <w:r w:rsidRPr="00E56329">
              <w:rPr>
                <w:rFonts w:eastAsia="Times New Roman" w:cs="Times New Roman"/>
                <w:lang w:eastAsia="en-GB"/>
              </w:rPr>
              <w:t>Experience designing blended learning and eLearning content.</w:t>
            </w:r>
          </w:p>
        </w:tc>
      </w:tr>
    </w:tbl>
    <w:p w14:paraId="00D11FEF" w14:textId="246D07B6" w:rsidR="004572F8" w:rsidRDefault="004572F8">
      <w:pPr>
        <w:spacing w:line="278" w:lineRule="auto"/>
        <w:rPr>
          <w:lang w:val="en-US"/>
        </w:rPr>
      </w:pPr>
    </w:p>
    <w:sectPr w:rsidR="004572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2BB3" w14:textId="77777777" w:rsidR="006369D8" w:rsidRDefault="006369D8" w:rsidP="002C5694">
      <w:pPr>
        <w:spacing w:after="0" w:line="240" w:lineRule="auto"/>
      </w:pPr>
      <w:r>
        <w:separator/>
      </w:r>
    </w:p>
  </w:endnote>
  <w:endnote w:type="continuationSeparator" w:id="0">
    <w:p w14:paraId="3C5EBF14" w14:textId="77777777" w:rsidR="006369D8" w:rsidRDefault="006369D8" w:rsidP="002C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8FA6" w14:textId="77777777" w:rsidR="006369D8" w:rsidRDefault="006369D8" w:rsidP="002C5694">
      <w:pPr>
        <w:spacing w:after="0" w:line="240" w:lineRule="auto"/>
      </w:pPr>
      <w:r>
        <w:separator/>
      </w:r>
    </w:p>
  </w:footnote>
  <w:footnote w:type="continuationSeparator" w:id="0">
    <w:p w14:paraId="511047C2" w14:textId="77777777" w:rsidR="006369D8" w:rsidRDefault="006369D8" w:rsidP="002C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4240" w14:textId="0D4565EE" w:rsidR="002C5694" w:rsidRDefault="00345B82">
    <w:pPr>
      <w:pStyle w:val="Header"/>
    </w:pPr>
    <w:r>
      <w:rPr>
        <w:noProof/>
        <w14:ligatures w14:val="standardContextual"/>
      </w:rPr>
      <w:drawing>
        <wp:inline distT="0" distB="0" distL="0" distR="0" wp14:anchorId="3A640ECA" wp14:editId="135D536F">
          <wp:extent cx="5731510" cy="94996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949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6pt;height:279.6pt" o:bullet="t">
        <v:imagedata r:id="rId1" o:title="Horizon Man"/>
      </v:shape>
    </w:pict>
  </w:numPicBullet>
  <w:abstractNum w:abstractNumId="0" w15:restartNumberingAfterBreak="0">
    <w:nsid w:val="00D528F4"/>
    <w:multiLevelType w:val="multilevel"/>
    <w:tmpl w:val="B44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D706A"/>
    <w:multiLevelType w:val="hybridMultilevel"/>
    <w:tmpl w:val="AE8C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053AD"/>
    <w:multiLevelType w:val="multilevel"/>
    <w:tmpl w:val="C5FC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D1F89"/>
    <w:multiLevelType w:val="multilevel"/>
    <w:tmpl w:val="04A0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561FF"/>
    <w:multiLevelType w:val="multilevel"/>
    <w:tmpl w:val="671C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C425C"/>
    <w:multiLevelType w:val="multilevel"/>
    <w:tmpl w:val="0FA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52721"/>
    <w:multiLevelType w:val="multilevel"/>
    <w:tmpl w:val="CD6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24F71"/>
    <w:multiLevelType w:val="hybridMultilevel"/>
    <w:tmpl w:val="EE58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A5917"/>
    <w:multiLevelType w:val="hybridMultilevel"/>
    <w:tmpl w:val="23C4589A"/>
    <w:lvl w:ilvl="0" w:tplc="4956E46C">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43CE2"/>
    <w:multiLevelType w:val="multilevel"/>
    <w:tmpl w:val="D228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244BC"/>
    <w:multiLevelType w:val="multilevel"/>
    <w:tmpl w:val="4598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617A3"/>
    <w:multiLevelType w:val="hybridMultilevel"/>
    <w:tmpl w:val="03E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A14A1"/>
    <w:multiLevelType w:val="multilevel"/>
    <w:tmpl w:val="0E4C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01084"/>
    <w:multiLevelType w:val="hybridMultilevel"/>
    <w:tmpl w:val="D4CE754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2A38656C"/>
    <w:multiLevelType w:val="multilevel"/>
    <w:tmpl w:val="6A1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37B30"/>
    <w:multiLevelType w:val="multilevel"/>
    <w:tmpl w:val="624C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F0CCE"/>
    <w:multiLevelType w:val="hybridMultilevel"/>
    <w:tmpl w:val="CEC85BAC"/>
    <w:lvl w:ilvl="0" w:tplc="4956E46C">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9070B"/>
    <w:multiLevelType w:val="multilevel"/>
    <w:tmpl w:val="C7F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44AE5"/>
    <w:multiLevelType w:val="hybridMultilevel"/>
    <w:tmpl w:val="D50EF3DA"/>
    <w:lvl w:ilvl="0" w:tplc="095445DE">
      <w:start w:val="5"/>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9A0FFD"/>
    <w:multiLevelType w:val="multilevel"/>
    <w:tmpl w:val="24C8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9341D"/>
    <w:multiLevelType w:val="hybridMultilevel"/>
    <w:tmpl w:val="D800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454AA"/>
    <w:multiLevelType w:val="hybridMultilevel"/>
    <w:tmpl w:val="EEEC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11809"/>
    <w:multiLevelType w:val="multilevel"/>
    <w:tmpl w:val="705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7040E"/>
    <w:multiLevelType w:val="hybridMultilevel"/>
    <w:tmpl w:val="7F5A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B5E09"/>
    <w:multiLevelType w:val="multilevel"/>
    <w:tmpl w:val="82AA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560D06"/>
    <w:multiLevelType w:val="hybridMultilevel"/>
    <w:tmpl w:val="8BF2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F12E09"/>
    <w:multiLevelType w:val="hybridMultilevel"/>
    <w:tmpl w:val="8E6C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92F4B"/>
    <w:multiLevelType w:val="hybridMultilevel"/>
    <w:tmpl w:val="135C3694"/>
    <w:lvl w:ilvl="0" w:tplc="4956E46C">
      <w:start w:val="1"/>
      <w:numFmt w:val="bullet"/>
      <w:lvlText w:val=""/>
      <w:lvlPicBulletId w:val="0"/>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350A3"/>
    <w:multiLevelType w:val="multilevel"/>
    <w:tmpl w:val="8344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B248D"/>
    <w:multiLevelType w:val="multilevel"/>
    <w:tmpl w:val="C048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B3C16"/>
    <w:multiLevelType w:val="multilevel"/>
    <w:tmpl w:val="AE4E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6B5A0F"/>
    <w:multiLevelType w:val="multilevel"/>
    <w:tmpl w:val="9AFA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7F759D"/>
    <w:multiLevelType w:val="multilevel"/>
    <w:tmpl w:val="C7DA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21317A"/>
    <w:multiLevelType w:val="hybridMultilevel"/>
    <w:tmpl w:val="927C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90EE6"/>
    <w:multiLevelType w:val="multilevel"/>
    <w:tmpl w:val="A538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291856"/>
    <w:multiLevelType w:val="hybridMultilevel"/>
    <w:tmpl w:val="A89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3550F0"/>
    <w:multiLevelType w:val="multilevel"/>
    <w:tmpl w:val="97E6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713FA"/>
    <w:multiLevelType w:val="multilevel"/>
    <w:tmpl w:val="FF0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F70DAC"/>
    <w:multiLevelType w:val="hybridMultilevel"/>
    <w:tmpl w:val="C4D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A643E2"/>
    <w:multiLevelType w:val="multilevel"/>
    <w:tmpl w:val="F3B02A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E45D6C"/>
    <w:multiLevelType w:val="multilevel"/>
    <w:tmpl w:val="81B0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6A28C9"/>
    <w:multiLevelType w:val="multilevel"/>
    <w:tmpl w:val="AD6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9C06A7"/>
    <w:multiLevelType w:val="multilevel"/>
    <w:tmpl w:val="0D5286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B15E2"/>
    <w:multiLevelType w:val="hybridMultilevel"/>
    <w:tmpl w:val="5F86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8E160E"/>
    <w:multiLevelType w:val="multilevel"/>
    <w:tmpl w:val="76AE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2E6348"/>
    <w:multiLevelType w:val="multilevel"/>
    <w:tmpl w:val="32F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372F79"/>
    <w:multiLevelType w:val="hybridMultilevel"/>
    <w:tmpl w:val="16C604B0"/>
    <w:lvl w:ilvl="0" w:tplc="91D03D04">
      <w:start w:val="5"/>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304D38"/>
    <w:multiLevelType w:val="hybridMultilevel"/>
    <w:tmpl w:val="4404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F735B1"/>
    <w:multiLevelType w:val="multilevel"/>
    <w:tmpl w:val="118E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062424">
    <w:abstractNumId w:val="27"/>
  </w:num>
  <w:num w:numId="2" w16cid:durableId="1737625585">
    <w:abstractNumId w:val="8"/>
  </w:num>
  <w:num w:numId="3" w16cid:durableId="1746107915">
    <w:abstractNumId w:val="16"/>
  </w:num>
  <w:num w:numId="4" w16cid:durableId="300884569">
    <w:abstractNumId w:val="24"/>
  </w:num>
  <w:num w:numId="5" w16cid:durableId="346711677">
    <w:abstractNumId w:val="13"/>
  </w:num>
  <w:num w:numId="6" w16cid:durableId="359935679">
    <w:abstractNumId w:val="7"/>
  </w:num>
  <w:num w:numId="7" w16cid:durableId="496652358">
    <w:abstractNumId w:val="42"/>
  </w:num>
  <w:num w:numId="8" w16cid:durableId="1591891983">
    <w:abstractNumId w:val="18"/>
  </w:num>
  <w:num w:numId="9" w16cid:durableId="1277442917">
    <w:abstractNumId w:val="46"/>
  </w:num>
  <w:num w:numId="10" w16cid:durableId="329993541">
    <w:abstractNumId w:val="39"/>
  </w:num>
  <w:num w:numId="11" w16cid:durableId="461702215">
    <w:abstractNumId w:val="5"/>
  </w:num>
  <w:num w:numId="12" w16cid:durableId="734275461">
    <w:abstractNumId w:val="28"/>
  </w:num>
  <w:num w:numId="13" w16cid:durableId="1689677777">
    <w:abstractNumId w:val="36"/>
  </w:num>
  <w:num w:numId="14" w16cid:durableId="57214389">
    <w:abstractNumId w:val="45"/>
  </w:num>
  <w:num w:numId="15" w16cid:durableId="1192382166">
    <w:abstractNumId w:val="10"/>
  </w:num>
  <w:num w:numId="16" w16cid:durableId="697701355">
    <w:abstractNumId w:val="33"/>
  </w:num>
  <w:num w:numId="17" w16cid:durableId="325137976">
    <w:abstractNumId w:val="25"/>
  </w:num>
  <w:num w:numId="18" w16cid:durableId="633799827">
    <w:abstractNumId w:val="20"/>
  </w:num>
  <w:num w:numId="19" w16cid:durableId="1451823198">
    <w:abstractNumId w:val="1"/>
  </w:num>
  <w:num w:numId="20" w16cid:durableId="689377769">
    <w:abstractNumId w:val="23"/>
  </w:num>
  <w:num w:numId="21" w16cid:durableId="254246512">
    <w:abstractNumId w:val="47"/>
  </w:num>
  <w:num w:numId="22" w16cid:durableId="1428886190">
    <w:abstractNumId w:val="35"/>
  </w:num>
  <w:num w:numId="23" w16cid:durableId="1184247745">
    <w:abstractNumId w:val="26"/>
  </w:num>
  <w:num w:numId="24" w16cid:durableId="1188592860">
    <w:abstractNumId w:val="43"/>
  </w:num>
  <w:num w:numId="25" w16cid:durableId="1524978285">
    <w:abstractNumId w:val="38"/>
  </w:num>
  <w:num w:numId="26" w16cid:durableId="1679651465">
    <w:abstractNumId w:val="21"/>
  </w:num>
  <w:num w:numId="27" w16cid:durableId="1268856379">
    <w:abstractNumId w:val="11"/>
  </w:num>
  <w:num w:numId="28" w16cid:durableId="270089403">
    <w:abstractNumId w:val="0"/>
  </w:num>
  <w:num w:numId="29" w16cid:durableId="1794667177">
    <w:abstractNumId w:val="3"/>
  </w:num>
  <w:num w:numId="30" w16cid:durableId="160826206">
    <w:abstractNumId w:val="6"/>
  </w:num>
  <w:num w:numId="31" w16cid:durableId="902563501">
    <w:abstractNumId w:val="30"/>
  </w:num>
  <w:num w:numId="32" w16cid:durableId="919365042">
    <w:abstractNumId w:val="22"/>
  </w:num>
  <w:num w:numId="33" w16cid:durableId="108597809">
    <w:abstractNumId w:val="15"/>
  </w:num>
  <w:num w:numId="34" w16cid:durableId="215090051">
    <w:abstractNumId w:val="12"/>
  </w:num>
  <w:num w:numId="35" w16cid:durableId="12458070">
    <w:abstractNumId w:val="48"/>
  </w:num>
  <w:num w:numId="36" w16cid:durableId="626085426">
    <w:abstractNumId w:val="31"/>
  </w:num>
  <w:num w:numId="37" w16cid:durableId="107507139">
    <w:abstractNumId w:val="2"/>
  </w:num>
  <w:num w:numId="38" w16cid:durableId="1197960940">
    <w:abstractNumId w:val="14"/>
  </w:num>
  <w:num w:numId="39" w16cid:durableId="227542289">
    <w:abstractNumId w:val="19"/>
  </w:num>
  <w:num w:numId="40" w16cid:durableId="1870028645">
    <w:abstractNumId w:val="4"/>
  </w:num>
  <w:num w:numId="41" w16cid:durableId="852106222">
    <w:abstractNumId w:val="41"/>
  </w:num>
  <w:num w:numId="42" w16cid:durableId="1598442848">
    <w:abstractNumId w:val="34"/>
  </w:num>
  <w:num w:numId="43" w16cid:durableId="870846119">
    <w:abstractNumId w:val="17"/>
  </w:num>
  <w:num w:numId="44" w16cid:durableId="708801162">
    <w:abstractNumId w:val="32"/>
  </w:num>
  <w:num w:numId="45" w16cid:durableId="1586844531">
    <w:abstractNumId w:val="44"/>
  </w:num>
  <w:num w:numId="46" w16cid:durableId="740325939">
    <w:abstractNumId w:val="9"/>
  </w:num>
  <w:num w:numId="47" w16cid:durableId="451560327">
    <w:abstractNumId w:val="37"/>
  </w:num>
  <w:num w:numId="48" w16cid:durableId="177233634">
    <w:abstractNumId w:val="40"/>
  </w:num>
  <w:num w:numId="49" w16cid:durableId="19681232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94"/>
    <w:rsid w:val="00066561"/>
    <w:rsid w:val="00080568"/>
    <w:rsid w:val="001567FB"/>
    <w:rsid w:val="001744A8"/>
    <w:rsid w:val="001B6386"/>
    <w:rsid w:val="00216E04"/>
    <w:rsid w:val="00223D99"/>
    <w:rsid w:val="002C5694"/>
    <w:rsid w:val="00307B2E"/>
    <w:rsid w:val="00334D99"/>
    <w:rsid w:val="0034151E"/>
    <w:rsid w:val="00342B3E"/>
    <w:rsid w:val="00345B82"/>
    <w:rsid w:val="0035423B"/>
    <w:rsid w:val="00382DB6"/>
    <w:rsid w:val="003A0200"/>
    <w:rsid w:val="003E1FD6"/>
    <w:rsid w:val="004572F8"/>
    <w:rsid w:val="00461D4A"/>
    <w:rsid w:val="0047755F"/>
    <w:rsid w:val="004B3C67"/>
    <w:rsid w:val="004D751F"/>
    <w:rsid w:val="00530DDD"/>
    <w:rsid w:val="005513FC"/>
    <w:rsid w:val="00552242"/>
    <w:rsid w:val="00572B61"/>
    <w:rsid w:val="005B447D"/>
    <w:rsid w:val="005B78DA"/>
    <w:rsid w:val="005D468B"/>
    <w:rsid w:val="0062286D"/>
    <w:rsid w:val="006369D8"/>
    <w:rsid w:val="006456ED"/>
    <w:rsid w:val="00653EE2"/>
    <w:rsid w:val="00655D76"/>
    <w:rsid w:val="00687B6D"/>
    <w:rsid w:val="00711DEA"/>
    <w:rsid w:val="00713E4A"/>
    <w:rsid w:val="00752888"/>
    <w:rsid w:val="00756A6D"/>
    <w:rsid w:val="007A25BD"/>
    <w:rsid w:val="00805184"/>
    <w:rsid w:val="00832C55"/>
    <w:rsid w:val="008757E5"/>
    <w:rsid w:val="008760B5"/>
    <w:rsid w:val="00892BE0"/>
    <w:rsid w:val="008B583B"/>
    <w:rsid w:val="008C114A"/>
    <w:rsid w:val="00901880"/>
    <w:rsid w:val="00915ED8"/>
    <w:rsid w:val="0095161B"/>
    <w:rsid w:val="0095573B"/>
    <w:rsid w:val="009A6F9B"/>
    <w:rsid w:val="009C6B99"/>
    <w:rsid w:val="009E6165"/>
    <w:rsid w:val="00A039DD"/>
    <w:rsid w:val="00A1257E"/>
    <w:rsid w:val="00A22B35"/>
    <w:rsid w:val="00A6221A"/>
    <w:rsid w:val="00A71F54"/>
    <w:rsid w:val="00AB2A7D"/>
    <w:rsid w:val="00AF35FC"/>
    <w:rsid w:val="00B210E6"/>
    <w:rsid w:val="00B30AFE"/>
    <w:rsid w:val="00B66DEB"/>
    <w:rsid w:val="00C33CB2"/>
    <w:rsid w:val="00C5040A"/>
    <w:rsid w:val="00C6774B"/>
    <w:rsid w:val="00C9032A"/>
    <w:rsid w:val="00D25739"/>
    <w:rsid w:val="00D33675"/>
    <w:rsid w:val="00D6115C"/>
    <w:rsid w:val="00DC3D3E"/>
    <w:rsid w:val="00DD0865"/>
    <w:rsid w:val="00E00C2A"/>
    <w:rsid w:val="00E0640F"/>
    <w:rsid w:val="00E36580"/>
    <w:rsid w:val="00E579F3"/>
    <w:rsid w:val="00EA0BA6"/>
    <w:rsid w:val="00EA1B9D"/>
    <w:rsid w:val="00F8202A"/>
    <w:rsid w:val="00F94D58"/>
    <w:rsid w:val="00FA0750"/>
    <w:rsid w:val="00FA4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FD2262D"/>
  <w15:chartTrackingRefBased/>
  <w15:docId w15:val="{1FC327FB-01B0-48FB-A5BA-49D95560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694"/>
    <w:pPr>
      <w:spacing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69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694"/>
    <w:pPr>
      <w:ind w:left="720"/>
      <w:contextualSpacing/>
    </w:pPr>
  </w:style>
  <w:style w:type="paragraph" w:customStyle="1" w:styleId="TableParagraph">
    <w:name w:val="Table Paragraph"/>
    <w:basedOn w:val="Normal"/>
    <w:uiPriority w:val="1"/>
    <w:qFormat/>
    <w:rsid w:val="002C5694"/>
    <w:pPr>
      <w:widowControl w:val="0"/>
      <w:autoSpaceDE w:val="0"/>
      <w:autoSpaceDN w:val="0"/>
      <w:spacing w:after="0" w:line="240" w:lineRule="auto"/>
      <w:ind w:left="118"/>
    </w:pPr>
    <w:rPr>
      <w:rFonts w:ascii="Tahoma" w:eastAsia="Tahoma" w:hAnsi="Tahoma" w:cs="Tahoma"/>
      <w:lang w:val="en-US"/>
    </w:rPr>
  </w:style>
  <w:style w:type="paragraph" w:styleId="Header">
    <w:name w:val="header"/>
    <w:basedOn w:val="Normal"/>
    <w:link w:val="HeaderChar"/>
    <w:uiPriority w:val="99"/>
    <w:unhideWhenUsed/>
    <w:rsid w:val="002C5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694"/>
    <w:rPr>
      <w:kern w:val="0"/>
      <w:sz w:val="22"/>
      <w:szCs w:val="22"/>
      <w14:ligatures w14:val="none"/>
    </w:rPr>
  </w:style>
  <w:style w:type="paragraph" w:styleId="Footer">
    <w:name w:val="footer"/>
    <w:basedOn w:val="Normal"/>
    <w:link w:val="FooterChar"/>
    <w:uiPriority w:val="99"/>
    <w:unhideWhenUsed/>
    <w:rsid w:val="002C5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69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Bingham</dc:creator>
  <cp:keywords/>
  <dc:description/>
  <cp:lastModifiedBy>Laura Bingham</cp:lastModifiedBy>
  <cp:revision>3</cp:revision>
  <dcterms:created xsi:type="dcterms:W3CDTF">2025-05-26T08:33:00Z</dcterms:created>
  <dcterms:modified xsi:type="dcterms:W3CDTF">2025-05-26T09:06:00Z</dcterms:modified>
</cp:coreProperties>
</file>